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4F" w:rsidRPr="00B1284F" w:rsidRDefault="00B1284F" w:rsidP="00B1284F">
      <w:pPr>
        <w:spacing w:after="0" w:line="240" w:lineRule="auto"/>
        <w:jc w:val="center"/>
        <w:rPr>
          <w:rFonts w:ascii="Times New Roman" w:eastAsia="Times New Roman" w:hAnsi="Times New Roman" w:cs="Times New Roman"/>
          <w:b/>
          <w:sz w:val="26"/>
          <w:szCs w:val="26"/>
        </w:rPr>
      </w:pPr>
      <w:r w:rsidRPr="00B1284F">
        <w:rPr>
          <w:rFonts w:ascii="Times New Roman" w:eastAsia="Times New Roman" w:hAnsi="Times New Roman" w:cs="Times New Roman"/>
          <w:b/>
          <w:sz w:val="26"/>
          <w:szCs w:val="26"/>
        </w:rPr>
        <w:t>МИНИСТЕРСТВО ЗДРАВООХРАНЕНИЯ РОССИЙСКОЙ ФЕДЕРАЦИИ</w:t>
      </w:r>
    </w:p>
    <w:p w:rsidR="00B1284F" w:rsidRPr="00B1284F" w:rsidRDefault="00B1284F" w:rsidP="00B1284F">
      <w:pPr>
        <w:spacing w:after="0" w:line="240" w:lineRule="auto"/>
        <w:jc w:val="center"/>
        <w:rPr>
          <w:rFonts w:ascii="Times New Roman" w:eastAsia="Times New Roman" w:hAnsi="Times New Roman" w:cs="Times New Roman"/>
          <w:b/>
          <w:sz w:val="26"/>
          <w:szCs w:val="26"/>
        </w:rPr>
      </w:pPr>
    </w:p>
    <w:p w:rsidR="00B1284F" w:rsidRPr="00B1284F" w:rsidRDefault="00B1284F" w:rsidP="00B1284F">
      <w:pPr>
        <w:spacing w:after="0" w:line="240" w:lineRule="auto"/>
        <w:jc w:val="center"/>
        <w:rPr>
          <w:rFonts w:ascii="Times New Roman" w:eastAsia="Times New Roman" w:hAnsi="Times New Roman" w:cs="Times New Roman"/>
          <w:b/>
          <w:sz w:val="26"/>
          <w:szCs w:val="26"/>
        </w:rPr>
      </w:pPr>
      <w:r w:rsidRPr="00B1284F">
        <w:rPr>
          <w:rFonts w:ascii="Times New Roman" w:eastAsia="Times New Roman" w:hAnsi="Times New Roman" w:cs="Times New Roman"/>
          <w:b/>
          <w:sz w:val="26"/>
          <w:szCs w:val="26"/>
        </w:rPr>
        <w:t>ИНСТРУКЦИЯ</w:t>
      </w:r>
    </w:p>
    <w:p w:rsidR="00B1284F" w:rsidRPr="00B1284F" w:rsidRDefault="00B1284F" w:rsidP="00B1284F">
      <w:pPr>
        <w:spacing w:after="0" w:line="240" w:lineRule="auto"/>
        <w:jc w:val="center"/>
        <w:rPr>
          <w:rFonts w:ascii="Times New Roman" w:eastAsia="Times New Roman" w:hAnsi="Times New Roman" w:cs="Times New Roman"/>
          <w:b/>
          <w:sz w:val="26"/>
          <w:szCs w:val="26"/>
        </w:rPr>
      </w:pPr>
    </w:p>
    <w:p w:rsidR="00B1284F" w:rsidRPr="00B1284F" w:rsidRDefault="00B1284F" w:rsidP="00B1284F">
      <w:pPr>
        <w:spacing w:after="0" w:line="240" w:lineRule="auto"/>
        <w:jc w:val="center"/>
        <w:rPr>
          <w:rFonts w:ascii="Times New Roman" w:eastAsia="Times New Roman" w:hAnsi="Times New Roman" w:cs="Times New Roman"/>
          <w:b/>
          <w:sz w:val="26"/>
          <w:szCs w:val="26"/>
        </w:rPr>
      </w:pPr>
      <w:r w:rsidRPr="00B1284F">
        <w:rPr>
          <w:rFonts w:ascii="Times New Roman" w:eastAsia="Times New Roman" w:hAnsi="Times New Roman" w:cs="Times New Roman"/>
          <w:b/>
          <w:sz w:val="26"/>
          <w:szCs w:val="26"/>
        </w:rPr>
        <w:t>ПО МЕДИЦИНСКОМУ ПРИМЕНЕНИЮ ЛЕКАРСТВЕННОГО ПРЕПАРАТА</w:t>
      </w:r>
    </w:p>
    <w:p w:rsidR="00B1284F" w:rsidRPr="00B1284F" w:rsidRDefault="00B1284F" w:rsidP="00B1284F">
      <w:pPr>
        <w:spacing w:after="0" w:line="240" w:lineRule="auto"/>
        <w:jc w:val="center"/>
        <w:rPr>
          <w:rFonts w:ascii="Times New Roman" w:eastAsia="Times New Roman" w:hAnsi="Times New Roman" w:cs="Times New Roman"/>
          <w:b/>
          <w:sz w:val="26"/>
          <w:szCs w:val="26"/>
        </w:rPr>
      </w:pPr>
    </w:p>
    <w:p w:rsidR="00DA2B59" w:rsidRPr="00E85C17" w:rsidRDefault="005C411D" w:rsidP="00E85C17">
      <w:pPr>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МЕНОВАЗИН</w:t>
      </w:r>
    </w:p>
    <w:p w:rsidR="00DA2B59" w:rsidRPr="005D5976" w:rsidRDefault="00DA2B59" w:rsidP="005D5976">
      <w:pPr>
        <w:pStyle w:val="3"/>
        <w:rPr>
          <w:b/>
          <w:bCs/>
        </w:rPr>
      </w:pPr>
      <w:r w:rsidRPr="005D5976">
        <w:rPr>
          <w:b/>
          <w:bCs/>
        </w:rPr>
        <w:t>Регистрационный номер:</w:t>
      </w:r>
    </w:p>
    <w:p w:rsidR="00DA2B59" w:rsidRPr="005D5976" w:rsidRDefault="00DA2B59" w:rsidP="005D5976">
      <w:pPr>
        <w:spacing w:after="0" w:line="360" w:lineRule="auto"/>
        <w:rPr>
          <w:rFonts w:ascii="Times New Roman" w:eastAsia="Times New Roman" w:hAnsi="Times New Roman" w:cs="Times New Roman"/>
          <w:sz w:val="24"/>
          <w:szCs w:val="24"/>
        </w:rPr>
      </w:pPr>
      <w:r w:rsidRPr="005D5976">
        <w:rPr>
          <w:rFonts w:ascii="Times New Roman" w:hAnsi="Times New Roman" w:cs="Times New Roman"/>
          <w:b/>
          <w:bCs/>
          <w:sz w:val="24"/>
          <w:szCs w:val="24"/>
        </w:rPr>
        <w:t xml:space="preserve">Торговое </w:t>
      </w:r>
      <w:r w:rsidR="00B1284F">
        <w:rPr>
          <w:rFonts w:ascii="Times New Roman" w:hAnsi="Times New Roman" w:cs="Times New Roman"/>
          <w:b/>
          <w:bCs/>
          <w:sz w:val="24"/>
          <w:szCs w:val="24"/>
        </w:rPr>
        <w:t>наименование</w:t>
      </w:r>
      <w:r w:rsidRPr="005D5976">
        <w:rPr>
          <w:rFonts w:ascii="Times New Roman" w:hAnsi="Times New Roman" w:cs="Times New Roman"/>
          <w:b/>
          <w:bCs/>
          <w:sz w:val="24"/>
          <w:szCs w:val="24"/>
        </w:rPr>
        <w:t>:</w:t>
      </w:r>
      <w:r w:rsidRPr="005D5976">
        <w:rPr>
          <w:rFonts w:ascii="Times New Roman" w:hAnsi="Times New Roman" w:cs="Times New Roman"/>
          <w:sz w:val="24"/>
          <w:szCs w:val="24"/>
        </w:rPr>
        <w:t xml:space="preserve"> </w:t>
      </w:r>
      <w:r w:rsidR="005C411D">
        <w:rPr>
          <w:rFonts w:ascii="Times New Roman" w:hAnsi="Times New Roman" w:cs="Times New Roman"/>
          <w:sz w:val="24"/>
          <w:szCs w:val="24"/>
        </w:rPr>
        <w:t>Меновазин</w:t>
      </w:r>
    </w:p>
    <w:p w:rsidR="00DA2B59" w:rsidRPr="005D5976" w:rsidRDefault="00DA2B59" w:rsidP="005D5976">
      <w:pPr>
        <w:spacing w:after="0" w:line="360" w:lineRule="auto"/>
        <w:rPr>
          <w:rFonts w:ascii="Times New Roman" w:hAnsi="Times New Roman" w:cs="Times New Roman"/>
          <w:bCs/>
          <w:sz w:val="24"/>
          <w:szCs w:val="24"/>
        </w:rPr>
      </w:pPr>
      <w:r w:rsidRPr="005D5976">
        <w:rPr>
          <w:rFonts w:ascii="Times New Roman" w:hAnsi="Times New Roman" w:cs="Times New Roman"/>
          <w:b/>
          <w:bCs/>
          <w:sz w:val="24"/>
          <w:szCs w:val="24"/>
        </w:rPr>
        <w:t>Междунар</w:t>
      </w:r>
      <w:r w:rsidR="005C411D">
        <w:rPr>
          <w:rFonts w:ascii="Times New Roman" w:hAnsi="Times New Roman" w:cs="Times New Roman"/>
          <w:b/>
          <w:bCs/>
          <w:sz w:val="24"/>
          <w:szCs w:val="24"/>
        </w:rPr>
        <w:t xml:space="preserve">одное непатентованное или группировочное название: </w:t>
      </w:r>
      <w:r w:rsidR="00B1284F">
        <w:rPr>
          <w:rFonts w:ascii="Times New Roman" w:hAnsi="Times New Roman" w:cs="Times New Roman"/>
          <w:bCs/>
          <w:sz w:val="24"/>
          <w:szCs w:val="24"/>
        </w:rPr>
        <w:t>Бензокаин + Левоментол + Прокаин</w:t>
      </w:r>
    </w:p>
    <w:p w:rsidR="00DA2B59" w:rsidRPr="005D5976" w:rsidRDefault="00DA2B59" w:rsidP="005D5976">
      <w:pPr>
        <w:spacing w:after="0" w:line="360" w:lineRule="auto"/>
        <w:rPr>
          <w:rFonts w:ascii="Times New Roman" w:eastAsia="Times New Roman" w:hAnsi="Times New Roman" w:cs="Times New Roman"/>
          <w:b/>
          <w:sz w:val="24"/>
          <w:szCs w:val="24"/>
        </w:rPr>
      </w:pPr>
      <w:r w:rsidRPr="005D5976">
        <w:rPr>
          <w:rFonts w:ascii="Times New Roman" w:hAnsi="Times New Roman" w:cs="Times New Roman"/>
          <w:b/>
          <w:bCs/>
          <w:sz w:val="24"/>
          <w:szCs w:val="24"/>
        </w:rPr>
        <w:t>Лекарственная форма:</w:t>
      </w:r>
      <w:r w:rsidRPr="005D5976">
        <w:rPr>
          <w:rFonts w:ascii="Times New Roman" w:hAnsi="Times New Roman" w:cs="Times New Roman"/>
          <w:sz w:val="24"/>
          <w:szCs w:val="24"/>
        </w:rPr>
        <w:t xml:space="preserve"> </w:t>
      </w:r>
      <w:r w:rsidR="005C411D">
        <w:rPr>
          <w:rFonts w:ascii="Times New Roman" w:hAnsi="Times New Roman" w:cs="Times New Roman"/>
          <w:sz w:val="24"/>
          <w:szCs w:val="24"/>
        </w:rPr>
        <w:t>раствор для наружного применения спиртовой</w:t>
      </w:r>
      <w:r w:rsidRPr="005D5976">
        <w:rPr>
          <w:rFonts w:ascii="Times New Roman" w:eastAsia="Times New Roman" w:hAnsi="Times New Roman" w:cs="Times New Roman"/>
          <w:sz w:val="24"/>
          <w:szCs w:val="24"/>
        </w:rPr>
        <w:t xml:space="preserve"> </w:t>
      </w:r>
    </w:p>
    <w:p w:rsidR="004A708F" w:rsidRPr="001F2D5C" w:rsidRDefault="009745E0" w:rsidP="001F2D5C">
      <w:pPr>
        <w:spacing w:after="0" w:line="360" w:lineRule="auto"/>
        <w:rPr>
          <w:rFonts w:ascii="Times New Roman" w:hAnsi="Times New Roman" w:cs="Times New Roman"/>
          <w:b/>
          <w:sz w:val="24"/>
          <w:szCs w:val="24"/>
        </w:rPr>
      </w:pPr>
      <w:r>
        <w:rPr>
          <w:rFonts w:ascii="Times New Roman" w:hAnsi="Times New Roman" w:cs="Times New Roman"/>
          <w:b/>
          <w:bCs/>
          <w:sz w:val="24"/>
          <w:szCs w:val="24"/>
        </w:rPr>
        <w:t>Состав</w:t>
      </w:r>
      <w:r w:rsidR="005C411D">
        <w:rPr>
          <w:rFonts w:ascii="Times New Roman" w:hAnsi="Times New Roman" w:cs="Times New Roman"/>
          <w:b/>
          <w:bCs/>
          <w:sz w:val="24"/>
          <w:szCs w:val="24"/>
        </w:rPr>
        <w:t xml:space="preserve"> на 100 мл</w:t>
      </w:r>
      <w:r>
        <w:rPr>
          <w:rFonts w:ascii="Times New Roman" w:hAnsi="Times New Roman" w:cs="Times New Roman"/>
          <w:b/>
          <w:bCs/>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701"/>
      </w:tblGrid>
      <w:tr w:rsidR="005C411D" w:rsidRPr="00380B89" w:rsidTr="005C411D">
        <w:tc>
          <w:tcPr>
            <w:tcW w:w="9464" w:type="dxa"/>
            <w:gridSpan w:val="2"/>
          </w:tcPr>
          <w:p w:rsidR="005C411D" w:rsidRPr="00380B89" w:rsidRDefault="005C411D" w:rsidP="008B7495">
            <w:pPr>
              <w:spacing w:line="360" w:lineRule="auto"/>
              <w:ind w:firstLine="709"/>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Действующие вещества</w:t>
            </w:r>
            <w:r w:rsidRPr="00380B89">
              <w:rPr>
                <w:rFonts w:ascii="Times New Roman" w:hAnsi="Times New Roman" w:cs="Times New Roman"/>
                <w:i/>
                <w:color w:val="000000" w:themeColor="text1"/>
                <w:sz w:val="24"/>
                <w:szCs w:val="24"/>
              </w:rPr>
              <w:t>:</w:t>
            </w:r>
          </w:p>
        </w:tc>
      </w:tr>
      <w:tr w:rsidR="005C411D" w:rsidRPr="00380B89" w:rsidTr="005C411D">
        <w:tc>
          <w:tcPr>
            <w:tcW w:w="7763" w:type="dxa"/>
          </w:tcPr>
          <w:p w:rsidR="005C411D" w:rsidRPr="00380B89" w:rsidRDefault="005C411D" w:rsidP="008B7495">
            <w:pPr>
              <w:pStyle w:val="1"/>
              <w:widowControl w:val="0"/>
              <w:spacing w:line="360" w:lineRule="auto"/>
              <w:jc w:val="left"/>
              <w:outlineLvl w:val="0"/>
              <w:rPr>
                <w:b/>
                <w:color w:val="000000" w:themeColor="text1"/>
                <w:sz w:val="24"/>
                <w:szCs w:val="24"/>
              </w:rPr>
            </w:pPr>
            <w:r>
              <w:rPr>
                <w:color w:val="000000" w:themeColor="text1"/>
                <w:sz w:val="24"/>
                <w:szCs w:val="24"/>
              </w:rPr>
              <w:t>Левоментол</w:t>
            </w:r>
          </w:p>
        </w:tc>
        <w:tc>
          <w:tcPr>
            <w:tcW w:w="1701" w:type="dxa"/>
          </w:tcPr>
          <w:p w:rsidR="005C411D" w:rsidRPr="00380B89" w:rsidRDefault="005C411D" w:rsidP="008B74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- 2,5 г</w:t>
            </w:r>
          </w:p>
        </w:tc>
      </w:tr>
      <w:tr w:rsidR="005C411D" w:rsidRPr="00380B89" w:rsidTr="005C411D">
        <w:tc>
          <w:tcPr>
            <w:tcW w:w="7763" w:type="dxa"/>
          </w:tcPr>
          <w:p w:rsidR="005C411D" w:rsidRDefault="005C411D" w:rsidP="008B7495">
            <w:pPr>
              <w:pStyle w:val="1"/>
              <w:widowControl w:val="0"/>
              <w:spacing w:line="360" w:lineRule="auto"/>
              <w:jc w:val="left"/>
              <w:outlineLvl w:val="0"/>
              <w:rPr>
                <w:color w:val="000000" w:themeColor="text1"/>
                <w:sz w:val="24"/>
                <w:szCs w:val="24"/>
              </w:rPr>
            </w:pPr>
            <w:r>
              <w:rPr>
                <w:color w:val="000000" w:themeColor="text1"/>
                <w:sz w:val="24"/>
                <w:szCs w:val="24"/>
              </w:rPr>
              <w:t xml:space="preserve">Прокаина гидрохлорид (новокаина гидрохлорид) </w:t>
            </w:r>
          </w:p>
        </w:tc>
        <w:tc>
          <w:tcPr>
            <w:tcW w:w="1701" w:type="dxa"/>
          </w:tcPr>
          <w:p w:rsidR="005C411D" w:rsidRPr="00380B89" w:rsidRDefault="005C411D" w:rsidP="008B74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 г </w:t>
            </w:r>
          </w:p>
        </w:tc>
      </w:tr>
      <w:tr w:rsidR="005C411D" w:rsidRPr="00380B89" w:rsidTr="005C411D">
        <w:tc>
          <w:tcPr>
            <w:tcW w:w="7763" w:type="dxa"/>
          </w:tcPr>
          <w:p w:rsidR="005C411D" w:rsidRDefault="005C411D" w:rsidP="008B7495">
            <w:pPr>
              <w:pStyle w:val="1"/>
              <w:widowControl w:val="0"/>
              <w:spacing w:line="360" w:lineRule="auto"/>
              <w:jc w:val="left"/>
              <w:outlineLvl w:val="0"/>
              <w:rPr>
                <w:color w:val="000000" w:themeColor="text1"/>
                <w:sz w:val="24"/>
                <w:szCs w:val="24"/>
              </w:rPr>
            </w:pPr>
            <w:r>
              <w:rPr>
                <w:color w:val="000000" w:themeColor="text1"/>
                <w:sz w:val="24"/>
                <w:szCs w:val="24"/>
              </w:rPr>
              <w:t>Бензокаин (анестезин)</w:t>
            </w:r>
          </w:p>
        </w:tc>
        <w:tc>
          <w:tcPr>
            <w:tcW w:w="1701" w:type="dxa"/>
          </w:tcPr>
          <w:p w:rsidR="005C411D" w:rsidRPr="00380B89" w:rsidRDefault="005C411D" w:rsidP="008B74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 г </w:t>
            </w:r>
          </w:p>
        </w:tc>
      </w:tr>
      <w:tr w:rsidR="005C411D" w:rsidRPr="00380B89" w:rsidTr="005C411D">
        <w:tc>
          <w:tcPr>
            <w:tcW w:w="9464" w:type="dxa"/>
            <w:gridSpan w:val="2"/>
          </w:tcPr>
          <w:p w:rsidR="005C411D" w:rsidRPr="00380B89" w:rsidRDefault="005C411D" w:rsidP="008B7495">
            <w:pPr>
              <w:spacing w:line="360" w:lineRule="auto"/>
              <w:ind w:firstLine="709"/>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Вспомогательные вещества</w:t>
            </w:r>
            <w:r w:rsidRPr="00380B89">
              <w:rPr>
                <w:rFonts w:ascii="Times New Roman" w:hAnsi="Times New Roman" w:cs="Times New Roman"/>
                <w:i/>
                <w:color w:val="000000" w:themeColor="text1"/>
                <w:sz w:val="24"/>
                <w:szCs w:val="24"/>
              </w:rPr>
              <w:t xml:space="preserve">: </w:t>
            </w:r>
          </w:p>
        </w:tc>
      </w:tr>
      <w:tr w:rsidR="005C411D" w:rsidRPr="00380B89" w:rsidTr="005C411D">
        <w:tc>
          <w:tcPr>
            <w:tcW w:w="7763" w:type="dxa"/>
          </w:tcPr>
          <w:p w:rsidR="005C411D" w:rsidRPr="00706199" w:rsidRDefault="00A6407B" w:rsidP="008B74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Этанол (этиловый спирт) 95</w:t>
            </w:r>
            <w:r w:rsidR="005C411D">
              <w:rPr>
                <w:rFonts w:ascii="Times New Roman" w:hAnsi="Times New Roman" w:cs="Times New Roman"/>
                <w:color w:val="000000" w:themeColor="text1"/>
                <w:sz w:val="24"/>
                <w:szCs w:val="24"/>
              </w:rPr>
              <w:t xml:space="preserve">% </w:t>
            </w:r>
            <w:r w:rsidR="005C411D" w:rsidRPr="00706199">
              <w:rPr>
                <w:rFonts w:ascii="Times New Roman" w:hAnsi="Times New Roman" w:cs="Times New Roman"/>
                <w:color w:val="000000" w:themeColor="text1"/>
                <w:sz w:val="24"/>
                <w:szCs w:val="24"/>
              </w:rPr>
              <w:t xml:space="preserve"> </w:t>
            </w:r>
          </w:p>
        </w:tc>
        <w:tc>
          <w:tcPr>
            <w:tcW w:w="1701" w:type="dxa"/>
          </w:tcPr>
          <w:p w:rsidR="005C411D" w:rsidRPr="00706199" w:rsidRDefault="005C411D" w:rsidP="00B25B2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5B26">
              <w:rPr>
                <w:rFonts w:ascii="Times New Roman" w:hAnsi="Times New Roman" w:cs="Times New Roman"/>
                <w:color w:val="000000" w:themeColor="text1"/>
                <w:sz w:val="24"/>
                <w:szCs w:val="24"/>
              </w:rPr>
              <w:t>68,5</w:t>
            </w:r>
            <w:r>
              <w:rPr>
                <w:rFonts w:ascii="Times New Roman" w:hAnsi="Times New Roman" w:cs="Times New Roman"/>
                <w:color w:val="000000" w:themeColor="text1"/>
                <w:sz w:val="24"/>
                <w:szCs w:val="24"/>
              </w:rPr>
              <w:t xml:space="preserve"> мл</w:t>
            </w:r>
          </w:p>
        </w:tc>
      </w:tr>
      <w:tr w:rsidR="005C411D" w:rsidRPr="00380B89" w:rsidTr="005C411D">
        <w:tc>
          <w:tcPr>
            <w:tcW w:w="7763" w:type="dxa"/>
          </w:tcPr>
          <w:p w:rsidR="005C411D" w:rsidRDefault="005C411D" w:rsidP="008B749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Вода </w:t>
            </w:r>
            <w:r w:rsidR="00B1284F">
              <w:rPr>
                <w:rFonts w:ascii="Times New Roman" w:hAnsi="Times New Roman" w:cs="Times New Roman"/>
                <w:color w:val="000000" w:themeColor="text1"/>
                <w:sz w:val="24"/>
                <w:szCs w:val="24"/>
              </w:rPr>
              <w:t>очищенная</w:t>
            </w:r>
          </w:p>
        </w:tc>
        <w:tc>
          <w:tcPr>
            <w:tcW w:w="1701" w:type="dxa"/>
          </w:tcPr>
          <w:p w:rsidR="005C411D" w:rsidRDefault="00B25B26" w:rsidP="00B25B2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- 27</w:t>
            </w:r>
            <w:r w:rsidR="005C411D">
              <w:rPr>
                <w:rFonts w:ascii="Times New Roman" w:hAnsi="Times New Roman" w:cs="Times New Roman"/>
                <w:color w:val="000000" w:themeColor="text1"/>
                <w:sz w:val="24"/>
                <w:szCs w:val="24"/>
              </w:rPr>
              <w:t xml:space="preserve"> мл</w:t>
            </w:r>
          </w:p>
        </w:tc>
      </w:tr>
    </w:tbl>
    <w:p w:rsidR="005D5976" w:rsidRPr="005D5976" w:rsidRDefault="005D5976" w:rsidP="005D5976">
      <w:pPr>
        <w:spacing w:after="0" w:line="360" w:lineRule="auto"/>
        <w:rPr>
          <w:rFonts w:ascii="Times New Roman" w:hAnsi="Times New Roman" w:cs="Times New Roman"/>
          <w:b/>
          <w:bCs/>
          <w:sz w:val="24"/>
          <w:szCs w:val="24"/>
        </w:rPr>
      </w:pPr>
      <w:r w:rsidRPr="005D5976">
        <w:rPr>
          <w:rFonts w:ascii="Times New Roman" w:hAnsi="Times New Roman" w:cs="Times New Roman"/>
          <w:b/>
          <w:bCs/>
          <w:sz w:val="24"/>
          <w:szCs w:val="24"/>
        </w:rPr>
        <w:t>Описание</w:t>
      </w:r>
    </w:p>
    <w:p w:rsidR="005C411D" w:rsidRDefault="005C411D" w:rsidP="005D5976">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Бесцветная прозрачная жидкость с запахом ментола. </w:t>
      </w:r>
    </w:p>
    <w:p w:rsidR="005D5976" w:rsidRPr="005D5976" w:rsidRDefault="005D5976" w:rsidP="005D5976">
      <w:pPr>
        <w:spacing w:after="0" w:line="360" w:lineRule="auto"/>
        <w:rPr>
          <w:rFonts w:ascii="Times New Roman" w:hAnsi="Times New Roman" w:cs="Times New Roman"/>
          <w:bCs/>
          <w:sz w:val="24"/>
          <w:szCs w:val="24"/>
        </w:rPr>
      </w:pPr>
      <w:r w:rsidRPr="005D5976">
        <w:rPr>
          <w:rFonts w:ascii="Times New Roman" w:hAnsi="Times New Roman" w:cs="Times New Roman"/>
          <w:b/>
          <w:bCs/>
          <w:sz w:val="24"/>
          <w:szCs w:val="24"/>
        </w:rPr>
        <w:t>Фармакотерапевическая группа:</w:t>
      </w:r>
      <w:r w:rsidRPr="005D5976">
        <w:rPr>
          <w:rFonts w:ascii="Times New Roman" w:hAnsi="Times New Roman" w:cs="Times New Roman"/>
          <w:bCs/>
          <w:sz w:val="24"/>
          <w:szCs w:val="24"/>
        </w:rPr>
        <w:t xml:space="preserve"> </w:t>
      </w:r>
      <w:r w:rsidR="008B409C">
        <w:rPr>
          <w:rFonts w:ascii="Times New Roman" w:hAnsi="Times New Roman" w:cs="Times New Roman"/>
          <w:bCs/>
          <w:sz w:val="24"/>
          <w:szCs w:val="24"/>
        </w:rPr>
        <w:t>местноане</w:t>
      </w:r>
      <w:r w:rsidR="005C411D">
        <w:rPr>
          <w:rFonts w:ascii="Times New Roman" w:hAnsi="Times New Roman" w:cs="Times New Roman"/>
          <w:bCs/>
          <w:sz w:val="24"/>
          <w:szCs w:val="24"/>
        </w:rPr>
        <w:t>стезирующее</w:t>
      </w:r>
      <w:r w:rsidRPr="005D5976">
        <w:rPr>
          <w:rFonts w:ascii="Times New Roman" w:hAnsi="Times New Roman" w:cs="Times New Roman"/>
          <w:bCs/>
          <w:sz w:val="24"/>
          <w:szCs w:val="24"/>
        </w:rPr>
        <w:t xml:space="preserve"> средство</w:t>
      </w:r>
    </w:p>
    <w:p w:rsidR="005D5976" w:rsidRPr="005D5976" w:rsidRDefault="005D5976" w:rsidP="005D5976">
      <w:pPr>
        <w:spacing w:after="0" w:line="360" w:lineRule="auto"/>
        <w:rPr>
          <w:rFonts w:ascii="Times New Roman" w:hAnsi="Times New Roman" w:cs="Times New Roman"/>
          <w:bCs/>
          <w:sz w:val="24"/>
          <w:szCs w:val="24"/>
        </w:rPr>
      </w:pPr>
      <w:r w:rsidRPr="005D5976">
        <w:rPr>
          <w:rFonts w:ascii="Times New Roman" w:hAnsi="Times New Roman" w:cs="Times New Roman"/>
          <w:b/>
          <w:bCs/>
          <w:sz w:val="24"/>
          <w:szCs w:val="24"/>
        </w:rPr>
        <w:t>Код АТХ:</w:t>
      </w:r>
      <w:r w:rsidR="00B1284F">
        <w:rPr>
          <w:rFonts w:ascii="Times New Roman" w:hAnsi="Times New Roman" w:cs="Times New Roman"/>
          <w:bCs/>
          <w:sz w:val="24"/>
          <w:szCs w:val="24"/>
        </w:rPr>
        <w:t xml:space="preserve"> </w:t>
      </w:r>
      <w:r w:rsidR="005C411D">
        <w:rPr>
          <w:rFonts w:ascii="Times New Roman" w:hAnsi="Times New Roman" w:cs="Times New Roman"/>
          <w:bCs/>
          <w:sz w:val="24"/>
          <w:szCs w:val="24"/>
          <w:lang w:val="en-US"/>
        </w:rPr>
        <w:t>D</w:t>
      </w:r>
      <w:r w:rsidR="005C411D" w:rsidRPr="005C411D">
        <w:rPr>
          <w:rFonts w:ascii="Times New Roman" w:hAnsi="Times New Roman" w:cs="Times New Roman"/>
          <w:bCs/>
          <w:sz w:val="24"/>
          <w:szCs w:val="24"/>
        </w:rPr>
        <w:t>04</w:t>
      </w:r>
      <w:r w:rsidR="005C411D">
        <w:rPr>
          <w:rFonts w:ascii="Times New Roman" w:hAnsi="Times New Roman" w:cs="Times New Roman"/>
          <w:bCs/>
          <w:sz w:val="24"/>
          <w:szCs w:val="24"/>
          <w:lang w:val="en-US"/>
        </w:rPr>
        <w:t>AB</w:t>
      </w:r>
    </w:p>
    <w:p w:rsidR="00DA2B59" w:rsidRPr="005D5976" w:rsidRDefault="005D5976" w:rsidP="005D5976">
      <w:pPr>
        <w:spacing w:after="0" w:line="360" w:lineRule="auto"/>
        <w:rPr>
          <w:rFonts w:ascii="Times New Roman" w:hAnsi="Times New Roman" w:cs="Times New Roman"/>
          <w:b/>
          <w:sz w:val="24"/>
          <w:szCs w:val="24"/>
        </w:rPr>
      </w:pPr>
      <w:r w:rsidRPr="005D5976">
        <w:rPr>
          <w:rFonts w:ascii="Times New Roman" w:hAnsi="Times New Roman" w:cs="Times New Roman"/>
          <w:b/>
          <w:sz w:val="24"/>
          <w:szCs w:val="24"/>
        </w:rPr>
        <w:t>Фармакологические свойства</w:t>
      </w:r>
    </w:p>
    <w:p w:rsidR="004834CF" w:rsidRPr="004834CF" w:rsidRDefault="00FC70B3" w:rsidP="005D5976">
      <w:pPr>
        <w:spacing w:after="0" w:line="360" w:lineRule="auto"/>
        <w:rPr>
          <w:rFonts w:ascii="Times New Roman" w:hAnsi="Times New Roman" w:cs="Times New Roman"/>
          <w:sz w:val="24"/>
          <w:szCs w:val="24"/>
        </w:rPr>
      </w:pPr>
      <w:r>
        <w:rPr>
          <w:rFonts w:ascii="Times New Roman" w:hAnsi="Times New Roman" w:cs="Times New Roman"/>
          <w:sz w:val="24"/>
          <w:szCs w:val="24"/>
        </w:rPr>
        <w:t>Комбинированный препарат для наружного применения, обладающий местноанестезирующим и противозудным действием.</w:t>
      </w:r>
    </w:p>
    <w:p w:rsidR="005D5976" w:rsidRPr="005D5976" w:rsidRDefault="005D5976" w:rsidP="005D5976">
      <w:pPr>
        <w:spacing w:after="0" w:line="360" w:lineRule="auto"/>
        <w:rPr>
          <w:rFonts w:ascii="Times New Roman" w:hAnsi="Times New Roman" w:cs="Times New Roman"/>
          <w:b/>
          <w:i/>
          <w:sz w:val="24"/>
          <w:szCs w:val="24"/>
        </w:rPr>
      </w:pPr>
      <w:r w:rsidRPr="005D5976">
        <w:rPr>
          <w:rFonts w:ascii="Times New Roman" w:hAnsi="Times New Roman" w:cs="Times New Roman"/>
          <w:b/>
          <w:i/>
          <w:sz w:val="24"/>
          <w:szCs w:val="24"/>
        </w:rPr>
        <w:t>Фармакодинамика</w:t>
      </w:r>
    </w:p>
    <w:p w:rsidR="005D5976" w:rsidRDefault="00B1284F" w:rsidP="005D5976">
      <w:pPr>
        <w:spacing w:after="0" w:line="360" w:lineRule="auto"/>
        <w:rPr>
          <w:rFonts w:ascii="Times New Roman" w:hAnsi="Times New Roman" w:cs="Times New Roman"/>
          <w:sz w:val="24"/>
          <w:szCs w:val="24"/>
        </w:rPr>
      </w:pPr>
      <w:r>
        <w:rPr>
          <w:rFonts w:ascii="Times New Roman" w:hAnsi="Times New Roman" w:cs="Times New Roman"/>
          <w:sz w:val="24"/>
          <w:szCs w:val="24"/>
        </w:rPr>
        <w:t>Левоментол</w:t>
      </w:r>
      <w:r w:rsidR="00FC70B3">
        <w:rPr>
          <w:rFonts w:ascii="Times New Roman" w:hAnsi="Times New Roman" w:cs="Times New Roman"/>
          <w:sz w:val="24"/>
          <w:szCs w:val="24"/>
        </w:rPr>
        <w:t xml:space="preserve"> при нанесении на кожу вызывает раздражение нервных окончаний и расширение поверхностных сосудов кожи и ощущение прохлады, сопровождающееся анальгезирующим (обезболивающим) эффектом и облегчением кожного зуда.</w:t>
      </w:r>
    </w:p>
    <w:p w:rsidR="00FC70B3" w:rsidRDefault="00FC70B3" w:rsidP="005D5976">
      <w:pPr>
        <w:spacing w:after="0" w:line="360" w:lineRule="auto"/>
        <w:rPr>
          <w:rFonts w:ascii="Times New Roman" w:hAnsi="Times New Roman" w:cs="Times New Roman"/>
          <w:sz w:val="24"/>
          <w:szCs w:val="24"/>
        </w:rPr>
      </w:pPr>
      <w:r>
        <w:rPr>
          <w:rFonts w:ascii="Times New Roman" w:hAnsi="Times New Roman" w:cs="Times New Roman"/>
          <w:sz w:val="24"/>
          <w:szCs w:val="24"/>
        </w:rPr>
        <w:t>Прокаин (новокаин) –</w:t>
      </w:r>
      <w:r w:rsidR="008B409C">
        <w:rPr>
          <w:rFonts w:ascii="Times New Roman" w:hAnsi="Times New Roman" w:cs="Times New Roman"/>
          <w:sz w:val="24"/>
          <w:szCs w:val="24"/>
        </w:rPr>
        <w:t xml:space="preserve"> местноане</w:t>
      </w:r>
      <w:r>
        <w:rPr>
          <w:rFonts w:ascii="Times New Roman" w:hAnsi="Times New Roman" w:cs="Times New Roman"/>
          <w:sz w:val="24"/>
          <w:szCs w:val="24"/>
        </w:rPr>
        <w:t>стезирующее средство с умеренной анестезирующей активностью. Блокирует натриевые каналы, препятствует генерации импульсов в ок</w:t>
      </w:r>
      <w:r w:rsidR="008B409C">
        <w:rPr>
          <w:rFonts w:ascii="Times New Roman" w:hAnsi="Times New Roman" w:cs="Times New Roman"/>
          <w:sz w:val="24"/>
          <w:szCs w:val="24"/>
        </w:rPr>
        <w:t>ончаниях чувствительных нервов</w:t>
      </w:r>
      <w:r>
        <w:rPr>
          <w:rFonts w:ascii="Times New Roman" w:hAnsi="Times New Roman" w:cs="Times New Roman"/>
          <w:sz w:val="24"/>
          <w:szCs w:val="24"/>
        </w:rPr>
        <w:t xml:space="preserve"> и проведению импульсов по нервным волокнам.</w:t>
      </w:r>
    </w:p>
    <w:p w:rsidR="00FC70B3" w:rsidRDefault="00FC70B3" w:rsidP="005D597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Бензокаин (анестезин) – местноанестезирующее средство для поверхностной анестезии. Препятствует возникновению болевых импульсов в окончаниях чувствительных </w:t>
      </w:r>
      <w:r w:rsidR="00FD68AC">
        <w:rPr>
          <w:rFonts w:ascii="Times New Roman" w:hAnsi="Times New Roman" w:cs="Times New Roman"/>
          <w:sz w:val="24"/>
          <w:szCs w:val="24"/>
        </w:rPr>
        <w:t>нервов и их проведению по нервным волокнам.</w:t>
      </w:r>
    </w:p>
    <w:p w:rsidR="00FD68AC" w:rsidRDefault="00B1284F" w:rsidP="005D5976">
      <w:pPr>
        <w:spacing w:after="0" w:line="360" w:lineRule="auto"/>
        <w:rPr>
          <w:rFonts w:ascii="Times New Roman" w:hAnsi="Times New Roman" w:cs="Times New Roman"/>
          <w:sz w:val="24"/>
          <w:szCs w:val="24"/>
        </w:rPr>
      </w:pPr>
      <w:r>
        <w:rPr>
          <w:rFonts w:ascii="Times New Roman" w:hAnsi="Times New Roman" w:cs="Times New Roman"/>
          <w:sz w:val="24"/>
          <w:szCs w:val="24"/>
        </w:rPr>
        <w:t>Левоментол</w:t>
      </w:r>
      <w:r w:rsidR="00FD68AC">
        <w:rPr>
          <w:rFonts w:ascii="Times New Roman" w:hAnsi="Times New Roman" w:cs="Times New Roman"/>
          <w:sz w:val="24"/>
          <w:szCs w:val="24"/>
        </w:rPr>
        <w:t xml:space="preserve"> усиливает местноанестезирующее действие прокаина (новокаина) и бензокаина (анестезина) при их одновременном применении в составе комбинированного препарата. </w:t>
      </w:r>
    </w:p>
    <w:p w:rsidR="00566353" w:rsidRPr="00566353" w:rsidRDefault="00566353" w:rsidP="005D5976">
      <w:pPr>
        <w:spacing w:after="0" w:line="360" w:lineRule="auto"/>
        <w:rPr>
          <w:rFonts w:ascii="Times New Roman" w:hAnsi="Times New Roman" w:cs="Times New Roman"/>
          <w:b/>
          <w:i/>
          <w:sz w:val="24"/>
          <w:szCs w:val="24"/>
        </w:rPr>
      </w:pPr>
      <w:r w:rsidRPr="00566353">
        <w:rPr>
          <w:rFonts w:ascii="Times New Roman" w:hAnsi="Times New Roman" w:cs="Times New Roman"/>
          <w:b/>
          <w:i/>
          <w:sz w:val="24"/>
          <w:szCs w:val="24"/>
        </w:rPr>
        <w:t>Фармакокинетика</w:t>
      </w:r>
    </w:p>
    <w:p w:rsidR="00566353" w:rsidRDefault="00FD68AC" w:rsidP="005D5976">
      <w:pPr>
        <w:spacing w:after="0" w:line="360" w:lineRule="auto"/>
        <w:rPr>
          <w:rFonts w:ascii="Times New Roman" w:hAnsi="Times New Roman" w:cs="Times New Roman"/>
          <w:sz w:val="24"/>
          <w:szCs w:val="24"/>
        </w:rPr>
      </w:pPr>
      <w:r>
        <w:rPr>
          <w:rFonts w:ascii="Times New Roman" w:hAnsi="Times New Roman" w:cs="Times New Roman"/>
          <w:sz w:val="24"/>
          <w:szCs w:val="24"/>
        </w:rPr>
        <w:t>При наружном применении компоненты препарата практически не поступают в системный кровоток.</w:t>
      </w:r>
    </w:p>
    <w:p w:rsidR="00566353" w:rsidRPr="00566353" w:rsidRDefault="00566353" w:rsidP="005D5976">
      <w:pPr>
        <w:spacing w:after="0" w:line="360" w:lineRule="auto"/>
        <w:rPr>
          <w:rFonts w:ascii="Times New Roman" w:hAnsi="Times New Roman" w:cs="Times New Roman"/>
          <w:b/>
          <w:sz w:val="24"/>
          <w:szCs w:val="24"/>
        </w:rPr>
      </w:pPr>
      <w:r w:rsidRPr="00566353">
        <w:rPr>
          <w:rFonts w:ascii="Times New Roman" w:hAnsi="Times New Roman" w:cs="Times New Roman"/>
          <w:b/>
          <w:sz w:val="24"/>
          <w:szCs w:val="24"/>
        </w:rPr>
        <w:t>Показания к применению</w:t>
      </w:r>
    </w:p>
    <w:p w:rsidR="00FD68AC" w:rsidRDefault="00B1284F" w:rsidP="00622285">
      <w:pPr>
        <w:spacing w:after="0" w:line="360" w:lineRule="auto"/>
        <w:rPr>
          <w:rFonts w:ascii="Times New Roman" w:hAnsi="Times New Roman" w:cs="Times New Roman"/>
          <w:sz w:val="24"/>
          <w:szCs w:val="24"/>
        </w:rPr>
      </w:pPr>
      <w:r>
        <w:rPr>
          <w:rFonts w:ascii="Times New Roman" w:hAnsi="Times New Roman" w:cs="Times New Roman"/>
          <w:sz w:val="24"/>
          <w:szCs w:val="24"/>
        </w:rPr>
        <w:t>В качестве местноанестезирующего средства при невралгиях, миалгиях, артралгиях.</w:t>
      </w:r>
    </w:p>
    <w:p w:rsidR="00622285" w:rsidRPr="00622285" w:rsidRDefault="00622285" w:rsidP="00622285">
      <w:pPr>
        <w:spacing w:after="0" w:line="360" w:lineRule="auto"/>
        <w:rPr>
          <w:rFonts w:ascii="Times New Roman" w:hAnsi="Times New Roman" w:cs="Times New Roman"/>
          <w:b/>
          <w:sz w:val="24"/>
          <w:szCs w:val="24"/>
        </w:rPr>
      </w:pPr>
      <w:r w:rsidRPr="00622285">
        <w:rPr>
          <w:rFonts w:ascii="Times New Roman" w:hAnsi="Times New Roman" w:cs="Times New Roman"/>
          <w:b/>
          <w:sz w:val="24"/>
          <w:szCs w:val="24"/>
        </w:rPr>
        <w:t>Противопоказания</w:t>
      </w:r>
    </w:p>
    <w:p w:rsidR="00622285" w:rsidRDefault="00B1284F" w:rsidP="00622285">
      <w:pPr>
        <w:spacing w:after="0" w:line="360" w:lineRule="auto"/>
        <w:rPr>
          <w:rFonts w:ascii="Times New Roman" w:hAnsi="Times New Roman" w:cs="Times New Roman"/>
          <w:sz w:val="24"/>
          <w:szCs w:val="24"/>
        </w:rPr>
      </w:pPr>
      <w:r>
        <w:rPr>
          <w:rFonts w:ascii="Times New Roman" w:hAnsi="Times New Roman" w:cs="Times New Roman"/>
          <w:sz w:val="24"/>
          <w:szCs w:val="24"/>
        </w:rPr>
        <w:t>Повышенная чувствительность к любому из компонентов препарата, нарушение целостности кожных покровов или воспалительные заболевания кожи в месте предполагаемого нанесения (в т.ч. дерматит, экзема), беременность, период грудного вскармливания, детский возраст до 18 лет.</w:t>
      </w:r>
    </w:p>
    <w:p w:rsidR="00FD68AC" w:rsidRPr="00FD68AC" w:rsidRDefault="00FD68AC" w:rsidP="00622285">
      <w:pPr>
        <w:spacing w:after="0" w:line="360" w:lineRule="auto"/>
        <w:rPr>
          <w:rFonts w:ascii="Times New Roman" w:hAnsi="Times New Roman" w:cs="Times New Roman"/>
          <w:b/>
          <w:sz w:val="24"/>
          <w:szCs w:val="24"/>
        </w:rPr>
      </w:pPr>
      <w:r w:rsidRPr="00FD68AC">
        <w:rPr>
          <w:rFonts w:ascii="Times New Roman" w:hAnsi="Times New Roman" w:cs="Times New Roman"/>
          <w:b/>
          <w:sz w:val="24"/>
          <w:szCs w:val="24"/>
        </w:rPr>
        <w:t>Применение при беременности и в период грудного вскармливания</w:t>
      </w:r>
    </w:p>
    <w:p w:rsidR="004834CF" w:rsidRPr="004834CF" w:rsidRDefault="009F13BA" w:rsidP="004834C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Применение при беременности и в период грудного вскармливания противопоказано (в связи с отсутствием данных). </w:t>
      </w:r>
    </w:p>
    <w:p w:rsidR="00C25C26" w:rsidRPr="008D058B" w:rsidRDefault="00C25C26" w:rsidP="00DA2B59">
      <w:pPr>
        <w:pStyle w:val="3"/>
        <w:rPr>
          <w:b/>
          <w:iCs/>
        </w:rPr>
      </w:pPr>
      <w:r w:rsidRPr="008D058B">
        <w:rPr>
          <w:b/>
          <w:iCs/>
        </w:rPr>
        <w:t>Способ применения и дозы</w:t>
      </w:r>
    </w:p>
    <w:p w:rsidR="004834CF" w:rsidRPr="004834CF" w:rsidRDefault="00FD68AC" w:rsidP="00DA2B59">
      <w:pPr>
        <w:pStyle w:val="3"/>
        <w:rPr>
          <w:iCs/>
        </w:rPr>
      </w:pPr>
      <w:r>
        <w:rPr>
          <w:iCs/>
        </w:rPr>
        <w:t>Наружно. Наносят на пораженные участки кожи или на кожу над пораженной областью и растирают 2-3 раза в день. Курс лечения продолжают в зависимости от терапевтического эффекта, но не более 3-4 недель. При необходимости курс повторяют.</w:t>
      </w:r>
    </w:p>
    <w:p w:rsidR="00DB1403" w:rsidRPr="00A777E4" w:rsidRDefault="00DB1403" w:rsidP="00DA2B59">
      <w:pPr>
        <w:pStyle w:val="3"/>
        <w:rPr>
          <w:b/>
          <w:iCs/>
        </w:rPr>
      </w:pPr>
      <w:r w:rsidRPr="00A777E4">
        <w:rPr>
          <w:b/>
          <w:iCs/>
        </w:rPr>
        <w:t>Побочное действие</w:t>
      </w:r>
    </w:p>
    <w:p w:rsidR="004834CF" w:rsidRPr="004834CF" w:rsidRDefault="009F13BA" w:rsidP="00DA2B59">
      <w:pPr>
        <w:pStyle w:val="3"/>
        <w:rPr>
          <w:iCs/>
        </w:rPr>
      </w:pPr>
      <w:r>
        <w:rPr>
          <w:iCs/>
        </w:rPr>
        <w:t>Аллергические реакции, контактный дерматит. При продолжительном применении возможно головокружение, общая слабость, снижение артериального давления. В этих случаях прекращают применение препарата. Если у Вас отмечаются побочные эффекты, указанные в инструкции, или они усугубляются, или Вы заметили любые другие побочные эффекты, не указанные в инструкции, сообщите об этом врачу.</w:t>
      </w:r>
    </w:p>
    <w:p w:rsidR="00A777E4" w:rsidRPr="00A777E4" w:rsidRDefault="00A777E4" w:rsidP="00DA2B59">
      <w:pPr>
        <w:pStyle w:val="3"/>
        <w:rPr>
          <w:b/>
          <w:iCs/>
        </w:rPr>
      </w:pPr>
      <w:r w:rsidRPr="00A777E4">
        <w:rPr>
          <w:b/>
          <w:iCs/>
        </w:rPr>
        <w:t>Передозировка</w:t>
      </w:r>
    </w:p>
    <w:p w:rsidR="004834CF" w:rsidRPr="004834CF" w:rsidRDefault="009F13BA" w:rsidP="00DA2B59">
      <w:pPr>
        <w:pStyle w:val="3"/>
        <w:rPr>
          <w:iCs/>
        </w:rPr>
      </w:pPr>
      <w:r>
        <w:rPr>
          <w:iCs/>
        </w:rPr>
        <w:t xml:space="preserve">При применении препарата в соответствии с инструкцией по применению, передозировка маловероятна. При чрезмерном нанесении или длительном его применении возможно усиление побочных эффектов. Лечение: симптоматическая терапия. </w:t>
      </w:r>
    </w:p>
    <w:p w:rsidR="00A777E4" w:rsidRPr="00A777E4" w:rsidRDefault="00A777E4" w:rsidP="00DA2B59">
      <w:pPr>
        <w:pStyle w:val="3"/>
        <w:rPr>
          <w:b/>
          <w:iCs/>
        </w:rPr>
      </w:pPr>
      <w:r w:rsidRPr="00A777E4">
        <w:rPr>
          <w:b/>
          <w:iCs/>
        </w:rPr>
        <w:t>Взаимодействие с другими лекарственными средствами</w:t>
      </w:r>
    </w:p>
    <w:p w:rsidR="00A777E4" w:rsidRDefault="00B1284F" w:rsidP="00DA2B59">
      <w:pPr>
        <w:pStyle w:val="3"/>
        <w:rPr>
          <w:iCs/>
        </w:rPr>
      </w:pPr>
      <w:r>
        <w:rPr>
          <w:iCs/>
        </w:rPr>
        <w:t xml:space="preserve">Не изучалось. </w:t>
      </w:r>
    </w:p>
    <w:p w:rsidR="0039133A" w:rsidRDefault="0039133A" w:rsidP="00DA2B59">
      <w:pPr>
        <w:pStyle w:val="3"/>
        <w:rPr>
          <w:iCs/>
        </w:rPr>
      </w:pPr>
    </w:p>
    <w:p w:rsidR="0039133A" w:rsidRDefault="0039133A" w:rsidP="00DA2B59">
      <w:pPr>
        <w:pStyle w:val="3"/>
        <w:rPr>
          <w:iCs/>
        </w:rPr>
      </w:pPr>
    </w:p>
    <w:p w:rsidR="0039133A" w:rsidRPr="0039133A" w:rsidRDefault="0039133A" w:rsidP="00DA2B59">
      <w:pPr>
        <w:pStyle w:val="3"/>
        <w:rPr>
          <w:b/>
          <w:iCs/>
        </w:rPr>
      </w:pPr>
      <w:r w:rsidRPr="0039133A">
        <w:rPr>
          <w:b/>
          <w:iCs/>
        </w:rPr>
        <w:t>Особые указания.</w:t>
      </w:r>
    </w:p>
    <w:p w:rsidR="004834CF" w:rsidRPr="00A6407B" w:rsidRDefault="00B1284F" w:rsidP="00DA2B59">
      <w:pPr>
        <w:pStyle w:val="3"/>
        <w:rPr>
          <w:iCs/>
        </w:rPr>
      </w:pPr>
      <w:r>
        <w:rPr>
          <w:iCs/>
        </w:rPr>
        <w:t>Не наносить препарат на воспаленную кожу или при нарушении целостности кожных покровов. Не наносить препарат на слизистые оболочки. Избегать попадания препарата в глаза. При случайном попадании препарата в глаза, следует обильно промыть их водой. После использования препарата рекомендуется вымыть руки.</w:t>
      </w:r>
    </w:p>
    <w:p w:rsidR="0039133A" w:rsidRPr="0039133A" w:rsidRDefault="0039133A" w:rsidP="00DA2B59">
      <w:pPr>
        <w:pStyle w:val="3"/>
        <w:rPr>
          <w:b/>
          <w:iCs/>
        </w:rPr>
      </w:pPr>
      <w:r w:rsidRPr="0039133A">
        <w:rPr>
          <w:b/>
          <w:iCs/>
        </w:rPr>
        <w:t>Влияние на способность управлять транспортными средствами и механизмами.</w:t>
      </w:r>
    </w:p>
    <w:p w:rsidR="004834CF" w:rsidRPr="00A6407B" w:rsidRDefault="0039133A" w:rsidP="00AB73F1">
      <w:pPr>
        <w:pStyle w:val="3"/>
        <w:rPr>
          <w:iCs/>
        </w:rPr>
      </w:pPr>
      <w:r>
        <w:rPr>
          <w:iCs/>
        </w:rPr>
        <w:t xml:space="preserve">Препарат не оказывает влияние на способность управлять транспортными средствами и заниматься потенциально опасными видами деятельности, требующими повышенного концентрированного внимания и быстроты психомоторных реакций. </w:t>
      </w:r>
    </w:p>
    <w:p w:rsidR="00DA2B59" w:rsidRPr="00EA3780" w:rsidRDefault="00DA2B59" w:rsidP="00AB73F1">
      <w:pPr>
        <w:pStyle w:val="3"/>
        <w:rPr>
          <w:b/>
          <w:iCs/>
          <w:color w:val="auto"/>
        </w:rPr>
      </w:pPr>
      <w:r w:rsidRPr="00EA3780">
        <w:rPr>
          <w:b/>
          <w:iCs/>
          <w:color w:val="auto"/>
        </w:rPr>
        <w:t>Форма выпуска</w:t>
      </w:r>
    </w:p>
    <w:p w:rsidR="00B1284F" w:rsidRDefault="00B1284F" w:rsidP="00A6407B">
      <w:pPr>
        <w:pStyle w:val="3"/>
        <w:rPr>
          <w:rFonts w:eastAsiaTheme="minorEastAsia"/>
          <w:iCs/>
          <w:color w:val="auto"/>
        </w:rPr>
      </w:pPr>
      <w:r>
        <w:rPr>
          <w:rFonts w:eastAsiaTheme="minorEastAsia"/>
          <w:iCs/>
          <w:color w:val="auto"/>
        </w:rPr>
        <w:t>Раствор для наружного применения спиртовой.</w:t>
      </w:r>
    </w:p>
    <w:p w:rsidR="00B1284F" w:rsidRPr="00B1284F" w:rsidRDefault="00B1284F" w:rsidP="00B1284F">
      <w:pPr>
        <w:pStyle w:val="3"/>
        <w:rPr>
          <w:rFonts w:eastAsiaTheme="minorEastAsia"/>
          <w:iCs/>
          <w:color w:val="auto"/>
        </w:rPr>
      </w:pPr>
      <w:r w:rsidRPr="00B1284F">
        <w:rPr>
          <w:rFonts w:eastAsiaTheme="minorEastAsia"/>
          <w:iCs/>
          <w:color w:val="auto"/>
        </w:rPr>
        <w:t>По 40 мл, 50 мл или 100 мл во флаконы из полиэтилена высокого давления или полиэтилентерфталата, укупоренные полимерными крышками. По 25 мл, 30 мл, 40 мл, 50 мл или 100 мл во флаконы оранжевого стекла, укупоренные полиэтиленовыми пробками и навинчивающимися крышками. Допускается комплектация флаконов из полиэтилена высокого давления или полиэтилентерфталата или флаконов оранжевого стекла вместе с насадкой-распылителем.</w:t>
      </w:r>
    </w:p>
    <w:p w:rsidR="00B1284F" w:rsidRPr="00B1284F" w:rsidRDefault="00B1284F" w:rsidP="00B1284F">
      <w:pPr>
        <w:pStyle w:val="3"/>
        <w:rPr>
          <w:rFonts w:eastAsiaTheme="minorEastAsia"/>
          <w:iCs/>
          <w:color w:val="auto"/>
        </w:rPr>
      </w:pPr>
      <w:r w:rsidRPr="00B1284F">
        <w:rPr>
          <w:rFonts w:eastAsiaTheme="minorEastAsia"/>
          <w:iCs/>
          <w:color w:val="auto"/>
        </w:rPr>
        <w:t>Каждый флакон вместе с инструкцией по медицинскому применению помещают в пачку из картона.</w:t>
      </w:r>
    </w:p>
    <w:p w:rsidR="00B1284F" w:rsidRDefault="00B1284F" w:rsidP="00B1284F">
      <w:pPr>
        <w:pStyle w:val="3"/>
        <w:rPr>
          <w:rFonts w:eastAsiaTheme="minorEastAsia"/>
          <w:iCs/>
          <w:color w:val="auto"/>
        </w:rPr>
      </w:pPr>
      <w:r w:rsidRPr="00B1284F">
        <w:rPr>
          <w:rFonts w:eastAsiaTheme="minorEastAsia"/>
          <w:iCs/>
          <w:color w:val="auto"/>
        </w:rPr>
        <w:t>50, 60, 80, 100, 140, 150, 200 флаконов по 25 мл, 30 мл, 40 мл; 30, 50, 80, 100, 120, 140 флаконов по 50 мл и 100 мл вместе с равным количеством инструкций по применению помещают в коробку из картона («Для стационаров»).</w:t>
      </w:r>
    </w:p>
    <w:p w:rsidR="00DA2B59" w:rsidRPr="00D152E7" w:rsidRDefault="00DA2B59" w:rsidP="00B1284F">
      <w:pPr>
        <w:pStyle w:val="3"/>
        <w:rPr>
          <w:b/>
          <w:iCs/>
        </w:rPr>
      </w:pPr>
      <w:r w:rsidRPr="00D152E7">
        <w:rPr>
          <w:b/>
          <w:iCs/>
        </w:rPr>
        <w:t>Условия хранения</w:t>
      </w:r>
    </w:p>
    <w:p w:rsidR="006A2275" w:rsidRDefault="00EA3780" w:rsidP="00DA2B59">
      <w:pPr>
        <w:pStyle w:val="3"/>
        <w:rPr>
          <w:iCs/>
        </w:rPr>
      </w:pPr>
      <w:r>
        <w:rPr>
          <w:iCs/>
        </w:rPr>
        <w:t>В</w:t>
      </w:r>
      <w:r w:rsidR="00DA2B59" w:rsidRPr="00D152E7">
        <w:rPr>
          <w:iCs/>
        </w:rPr>
        <w:t xml:space="preserve"> защищенном от света ме</w:t>
      </w:r>
      <w:r w:rsidR="00FC70B3">
        <w:rPr>
          <w:iCs/>
        </w:rPr>
        <w:t>сте</w:t>
      </w:r>
      <w:r w:rsidR="00302DD6">
        <w:rPr>
          <w:iCs/>
        </w:rPr>
        <w:t>,</w:t>
      </w:r>
      <w:r w:rsidR="006A2275">
        <w:rPr>
          <w:iCs/>
        </w:rPr>
        <w:t xml:space="preserve"> при температуре </w:t>
      </w:r>
      <w:r w:rsidR="00617E5E">
        <w:rPr>
          <w:iCs/>
        </w:rPr>
        <w:t xml:space="preserve">не выше 25 </w:t>
      </w:r>
      <w:r w:rsidR="00DA2B59">
        <w:rPr>
          <w:iCs/>
        </w:rPr>
        <w:t>°</w:t>
      </w:r>
      <w:r w:rsidR="00DA2B59" w:rsidRPr="00D152E7">
        <w:rPr>
          <w:iCs/>
        </w:rPr>
        <w:t xml:space="preserve">С. </w:t>
      </w:r>
    </w:p>
    <w:p w:rsidR="004834CF" w:rsidRPr="00A6407B" w:rsidRDefault="00DA2B59" w:rsidP="00DA2B59">
      <w:pPr>
        <w:pStyle w:val="3"/>
        <w:rPr>
          <w:iCs/>
        </w:rPr>
      </w:pPr>
      <w:r w:rsidRPr="00D152E7">
        <w:rPr>
          <w:iCs/>
        </w:rPr>
        <w:t>Хранить в недоступном для детей месте.</w:t>
      </w:r>
    </w:p>
    <w:p w:rsidR="00DA2B59" w:rsidRPr="00D152E7" w:rsidRDefault="00DA2B59" w:rsidP="00DA2B59">
      <w:pPr>
        <w:pStyle w:val="3"/>
        <w:rPr>
          <w:b/>
          <w:iCs/>
        </w:rPr>
      </w:pPr>
      <w:r w:rsidRPr="00D152E7">
        <w:rPr>
          <w:b/>
          <w:iCs/>
        </w:rPr>
        <w:t>Срок годности</w:t>
      </w:r>
    </w:p>
    <w:p w:rsidR="004834CF" w:rsidRPr="00A6407B" w:rsidRDefault="00617E5E" w:rsidP="00DA2B59">
      <w:pPr>
        <w:pStyle w:val="3"/>
        <w:rPr>
          <w:iCs/>
        </w:rPr>
      </w:pPr>
      <w:r>
        <w:rPr>
          <w:iCs/>
        </w:rPr>
        <w:t>2</w:t>
      </w:r>
      <w:r w:rsidR="00DA2B59" w:rsidRPr="00D152E7">
        <w:rPr>
          <w:iCs/>
        </w:rPr>
        <w:t xml:space="preserve"> года. Не </w:t>
      </w:r>
      <w:r w:rsidR="00B1284F">
        <w:rPr>
          <w:iCs/>
        </w:rPr>
        <w:t>применять</w:t>
      </w:r>
      <w:r w:rsidR="00DE2DD7">
        <w:rPr>
          <w:iCs/>
        </w:rPr>
        <w:t xml:space="preserve"> по истечении срока годности</w:t>
      </w:r>
      <w:r w:rsidR="00DA2B59" w:rsidRPr="00D152E7">
        <w:rPr>
          <w:iCs/>
        </w:rPr>
        <w:t xml:space="preserve">. </w:t>
      </w:r>
    </w:p>
    <w:p w:rsidR="00DA2B59" w:rsidRPr="00D152E7" w:rsidRDefault="00DA2B59" w:rsidP="00DA2B59">
      <w:pPr>
        <w:pStyle w:val="3"/>
        <w:rPr>
          <w:b/>
          <w:iCs/>
        </w:rPr>
      </w:pPr>
      <w:r w:rsidRPr="00D152E7">
        <w:rPr>
          <w:b/>
          <w:iCs/>
        </w:rPr>
        <w:t>Условия отпуска</w:t>
      </w:r>
    </w:p>
    <w:p w:rsidR="004834CF" w:rsidRPr="00A6407B" w:rsidRDefault="00B1284F" w:rsidP="00A6407B">
      <w:pPr>
        <w:pStyle w:val="3"/>
        <w:rPr>
          <w:iCs/>
        </w:rPr>
      </w:pPr>
      <w:r>
        <w:rPr>
          <w:iCs/>
        </w:rPr>
        <w:t>Отпускают без</w:t>
      </w:r>
      <w:r w:rsidR="00FC70B3">
        <w:rPr>
          <w:iCs/>
        </w:rPr>
        <w:t xml:space="preserve"> рецепта</w:t>
      </w:r>
      <w:r w:rsidR="00DA2B59" w:rsidRPr="00D152E7">
        <w:rPr>
          <w:iCs/>
        </w:rPr>
        <w:t>.</w:t>
      </w:r>
    </w:p>
    <w:p w:rsidR="008876C9" w:rsidRDefault="008876C9" w:rsidP="00DA2B59">
      <w:pPr>
        <w:keepNext/>
        <w:spacing w:after="0" w:line="360" w:lineRule="auto"/>
        <w:jc w:val="both"/>
        <w:outlineLvl w:val="0"/>
        <w:rPr>
          <w:rFonts w:ascii="Times New Roman" w:hAnsi="Times New Roman"/>
          <w:b/>
          <w:sz w:val="24"/>
          <w:szCs w:val="24"/>
        </w:rPr>
      </w:pPr>
    </w:p>
    <w:p w:rsidR="008876C9" w:rsidRDefault="008876C9" w:rsidP="00DA2B59">
      <w:pPr>
        <w:keepNext/>
        <w:spacing w:after="0" w:line="360" w:lineRule="auto"/>
        <w:jc w:val="both"/>
        <w:outlineLvl w:val="0"/>
        <w:rPr>
          <w:rFonts w:ascii="Times New Roman" w:hAnsi="Times New Roman"/>
          <w:b/>
          <w:sz w:val="24"/>
          <w:szCs w:val="24"/>
        </w:rPr>
      </w:pPr>
      <w:bookmarkStart w:id="0" w:name="_GoBack"/>
      <w:bookmarkEnd w:id="0"/>
    </w:p>
    <w:p w:rsidR="008876C9" w:rsidRDefault="008876C9" w:rsidP="00DA2B59">
      <w:pPr>
        <w:keepNext/>
        <w:spacing w:after="0" w:line="360" w:lineRule="auto"/>
        <w:jc w:val="both"/>
        <w:outlineLvl w:val="0"/>
        <w:rPr>
          <w:rFonts w:ascii="Times New Roman" w:hAnsi="Times New Roman"/>
          <w:b/>
          <w:sz w:val="24"/>
          <w:szCs w:val="24"/>
        </w:rPr>
      </w:pPr>
    </w:p>
    <w:p w:rsidR="00DA2B59" w:rsidRDefault="00DA2B59" w:rsidP="00DA2B59">
      <w:pPr>
        <w:keepNext/>
        <w:spacing w:after="0" w:line="360" w:lineRule="auto"/>
        <w:jc w:val="both"/>
        <w:outlineLvl w:val="0"/>
        <w:rPr>
          <w:rFonts w:ascii="Times New Roman" w:hAnsi="Times New Roman"/>
          <w:b/>
          <w:sz w:val="24"/>
          <w:szCs w:val="24"/>
        </w:rPr>
      </w:pPr>
      <w:r>
        <w:rPr>
          <w:rFonts w:ascii="Times New Roman" w:hAnsi="Times New Roman"/>
          <w:b/>
          <w:sz w:val="24"/>
          <w:szCs w:val="24"/>
        </w:rPr>
        <w:t>Производитель</w:t>
      </w:r>
      <w:r w:rsidRPr="00DA2B59">
        <w:rPr>
          <w:rFonts w:ascii="Times New Roman" w:hAnsi="Times New Roman"/>
          <w:b/>
          <w:sz w:val="24"/>
          <w:szCs w:val="24"/>
        </w:rPr>
        <w:t>/</w:t>
      </w:r>
      <w:r>
        <w:rPr>
          <w:rFonts w:ascii="Times New Roman" w:hAnsi="Times New Roman"/>
          <w:b/>
          <w:sz w:val="24"/>
          <w:szCs w:val="24"/>
        </w:rPr>
        <w:t>организация, принимающая претензии:</w:t>
      </w:r>
    </w:p>
    <w:p w:rsidR="00B1284F" w:rsidRPr="00B1284F" w:rsidRDefault="00B1284F" w:rsidP="00B1284F">
      <w:pPr>
        <w:autoSpaceDE w:val="0"/>
        <w:autoSpaceDN w:val="0"/>
        <w:adjustRightInd w:val="0"/>
        <w:spacing w:after="0" w:line="360" w:lineRule="auto"/>
        <w:rPr>
          <w:rFonts w:ascii="Times New Roman" w:eastAsia="Calibri" w:hAnsi="Times New Roman" w:cs="Times New Roman"/>
          <w:sz w:val="24"/>
          <w:szCs w:val="24"/>
        </w:rPr>
      </w:pPr>
      <w:r w:rsidRPr="00B1284F">
        <w:rPr>
          <w:rFonts w:ascii="Times New Roman" w:eastAsia="Calibri" w:hAnsi="Times New Roman" w:cs="Times New Roman"/>
          <w:sz w:val="24"/>
          <w:szCs w:val="24"/>
        </w:rPr>
        <w:t xml:space="preserve">АО «Усолье-Сибирский химфармзавод» </w:t>
      </w:r>
    </w:p>
    <w:p w:rsidR="00B1284F" w:rsidRPr="00B1284F" w:rsidRDefault="00B1284F" w:rsidP="00B1284F">
      <w:pPr>
        <w:autoSpaceDE w:val="0"/>
        <w:autoSpaceDN w:val="0"/>
        <w:adjustRightInd w:val="0"/>
        <w:spacing w:after="0" w:line="360" w:lineRule="auto"/>
        <w:rPr>
          <w:rFonts w:ascii="Times New Roman" w:eastAsia="Calibri" w:hAnsi="Times New Roman" w:cs="Times New Roman"/>
          <w:sz w:val="24"/>
          <w:szCs w:val="24"/>
        </w:rPr>
      </w:pPr>
      <w:r w:rsidRPr="00B1284F">
        <w:rPr>
          <w:rFonts w:ascii="Times New Roman" w:eastAsia="Calibri" w:hAnsi="Times New Roman" w:cs="Times New Roman"/>
          <w:sz w:val="24"/>
          <w:szCs w:val="24"/>
        </w:rPr>
        <w:t xml:space="preserve">Россия, 665462, Иркутская область, г.Усолье-Сибирское, северо-западная часть города, с северо-восточной стороны, в 115 м от Прибайкальской автодороги. </w:t>
      </w:r>
    </w:p>
    <w:p w:rsidR="00B1284F" w:rsidRPr="00B1284F" w:rsidRDefault="00B1284F" w:rsidP="00B1284F">
      <w:pPr>
        <w:keepNext/>
        <w:spacing w:after="0" w:line="360" w:lineRule="auto"/>
        <w:jc w:val="both"/>
        <w:outlineLvl w:val="0"/>
        <w:rPr>
          <w:rFonts w:ascii="Times New Roman" w:eastAsia="Times New Roman" w:hAnsi="Times New Roman" w:cs="Times New Roman"/>
          <w:b/>
          <w:sz w:val="24"/>
          <w:szCs w:val="24"/>
        </w:rPr>
      </w:pPr>
      <w:r w:rsidRPr="00B1284F">
        <w:rPr>
          <w:rFonts w:ascii="Times New Roman" w:eastAsia="Times New Roman" w:hAnsi="Times New Roman" w:cs="Times New Roman"/>
          <w:sz w:val="24"/>
          <w:szCs w:val="24"/>
        </w:rPr>
        <w:t>тел./факс: +7 (39543) 58910, +7 (39543) 58908</w:t>
      </w:r>
    </w:p>
    <w:p w:rsidR="00B1284F" w:rsidRPr="00B1284F" w:rsidRDefault="00B1284F" w:rsidP="00B1284F">
      <w:pPr>
        <w:keepNext/>
        <w:spacing w:after="0" w:line="360" w:lineRule="auto"/>
        <w:jc w:val="both"/>
        <w:outlineLvl w:val="0"/>
        <w:rPr>
          <w:rFonts w:ascii="Times New Roman" w:eastAsia="Times New Roman" w:hAnsi="Times New Roman" w:cs="Times New Roman"/>
          <w:b/>
          <w:sz w:val="24"/>
          <w:szCs w:val="24"/>
        </w:rPr>
      </w:pPr>
    </w:p>
    <w:p w:rsidR="00B1284F" w:rsidRPr="00B1284F" w:rsidRDefault="00B1284F" w:rsidP="00B1284F">
      <w:pPr>
        <w:keepNext/>
        <w:spacing w:after="0" w:line="360" w:lineRule="auto"/>
        <w:jc w:val="both"/>
        <w:outlineLvl w:val="0"/>
        <w:rPr>
          <w:rFonts w:ascii="Times New Roman" w:eastAsia="Times New Roman" w:hAnsi="Times New Roman" w:cs="Times New Roman"/>
          <w:b/>
          <w:sz w:val="24"/>
          <w:szCs w:val="24"/>
        </w:rPr>
      </w:pPr>
    </w:p>
    <w:p w:rsidR="00B1284F" w:rsidRPr="00B1284F" w:rsidRDefault="00B1284F" w:rsidP="00B1284F">
      <w:pPr>
        <w:keepNext/>
        <w:spacing w:after="0" w:line="360" w:lineRule="auto"/>
        <w:jc w:val="both"/>
        <w:outlineLvl w:val="0"/>
        <w:rPr>
          <w:rFonts w:ascii="Times New Roman" w:eastAsia="Times New Roman" w:hAnsi="Times New Roman" w:cs="Times New Roman"/>
          <w:b/>
          <w:sz w:val="24"/>
          <w:szCs w:val="24"/>
        </w:rPr>
      </w:pPr>
    </w:p>
    <w:p w:rsidR="00B1284F" w:rsidRPr="00B1284F" w:rsidRDefault="00B1284F" w:rsidP="00B1284F">
      <w:pPr>
        <w:tabs>
          <w:tab w:val="left" w:pos="4820"/>
        </w:tabs>
        <w:spacing w:after="0" w:line="360" w:lineRule="auto"/>
        <w:rPr>
          <w:rFonts w:ascii="Times New Roman" w:eastAsia="Times New Roman" w:hAnsi="Times New Roman" w:cs="Times New Roman"/>
          <w:sz w:val="24"/>
          <w:szCs w:val="24"/>
        </w:rPr>
      </w:pPr>
      <w:r w:rsidRPr="00B1284F">
        <w:rPr>
          <w:rFonts w:ascii="Times New Roman" w:eastAsia="Times New Roman" w:hAnsi="Times New Roman" w:cs="Times New Roman"/>
          <w:sz w:val="24"/>
          <w:szCs w:val="24"/>
        </w:rPr>
        <w:t>Генеральный директор</w:t>
      </w:r>
    </w:p>
    <w:p w:rsidR="00B1284F" w:rsidRPr="00B1284F" w:rsidRDefault="00B1284F" w:rsidP="00B1284F">
      <w:pPr>
        <w:tabs>
          <w:tab w:val="left" w:pos="4820"/>
        </w:tabs>
        <w:spacing w:after="0" w:line="360" w:lineRule="auto"/>
        <w:rPr>
          <w:rFonts w:ascii="Times New Roman" w:eastAsia="Times New Roman" w:hAnsi="Times New Roman" w:cs="Times New Roman"/>
          <w:sz w:val="24"/>
          <w:szCs w:val="24"/>
        </w:rPr>
      </w:pPr>
      <w:r w:rsidRPr="00B1284F">
        <w:rPr>
          <w:rFonts w:ascii="Times New Roman" w:eastAsia="Times New Roman" w:hAnsi="Times New Roman" w:cs="Times New Roman"/>
          <w:sz w:val="24"/>
          <w:szCs w:val="24"/>
        </w:rPr>
        <w:t xml:space="preserve">АО «Усолье-Сибирский химфармзавод» </w:t>
      </w:r>
      <w:r w:rsidRPr="00B1284F">
        <w:rPr>
          <w:rFonts w:ascii="Times New Roman" w:eastAsia="Times New Roman" w:hAnsi="Times New Roman" w:cs="Times New Roman"/>
          <w:sz w:val="24"/>
          <w:szCs w:val="24"/>
        </w:rPr>
        <w:tab/>
      </w:r>
      <w:r w:rsidRPr="00B1284F">
        <w:rPr>
          <w:rFonts w:ascii="Times New Roman" w:eastAsia="Times New Roman" w:hAnsi="Times New Roman" w:cs="Times New Roman"/>
          <w:sz w:val="24"/>
          <w:szCs w:val="24"/>
        </w:rPr>
        <w:tab/>
      </w:r>
      <w:r w:rsidRPr="00B1284F">
        <w:rPr>
          <w:rFonts w:ascii="Times New Roman" w:eastAsia="Times New Roman" w:hAnsi="Times New Roman" w:cs="Times New Roman"/>
          <w:sz w:val="24"/>
          <w:szCs w:val="24"/>
        </w:rPr>
        <w:tab/>
      </w:r>
      <w:r w:rsidRPr="00B1284F">
        <w:rPr>
          <w:rFonts w:ascii="Times New Roman" w:eastAsia="Times New Roman" w:hAnsi="Times New Roman" w:cs="Times New Roman"/>
          <w:sz w:val="24"/>
          <w:szCs w:val="24"/>
        </w:rPr>
        <w:tab/>
        <w:t>Тюстин С.В.</w:t>
      </w:r>
    </w:p>
    <w:p w:rsidR="00B1284F" w:rsidRPr="00B1284F" w:rsidRDefault="00B1284F" w:rsidP="00B1284F">
      <w:pPr>
        <w:spacing w:after="0" w:line="360" w:lineRule="auto"/>
        <w:rPr>
          <w:rFonts w:ascii="Times New Roman" w:eastAsia="Times New Roman" w:hAnsi="Times New Roman" w:cs="Times New Roman"/>
          <w:sz w:val="24"/>
          <w:szCs w:val="24"/>
        </w:rPr>
      </w:pPr>
    </w:p>
    <w:p w:rsidR="00DA2B59" w:rsidRDefault="00DA2B59" w:rsidP="00B1284F">
      <w:pPr>
        <w:pStyle w:val="Default"/>
        <w:spacing w:line="360" w:lineRule="auto"/>
      </w:pPr>
    </w:p>
    <w:sectPr w:rsidR="00DA2B59" w:rsidSect="0056635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20" w:rsidRDefault="00D31120" w:rsidP="00566353">
      <w:pPr>
        <w:spacing w:after="0" w:line="240" w:lineRule="auto"/>
      </w:pPr>
      <w:r>
        <w:separator/>
      </w:r>
    </w:p>
  </w:endnote>
  <w:endnote w:type="continuationSeparator" w:id="0">
    <w:p w:rsidR="00D31120" w:rsidRDefault="00D31120" w:rsidP="0056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20" w:rsidRDefault="00D31120" w:rsidP="00566353">
      <w:pPr>
        <w:spacing w:after="0" w:line="240" w:lineRule="auto"/>
      </w:pPr>
      <w:r>
        <w:separator/>
      </w:r>
    </w:p>
  </w:footnote>
  <w:footnote w:type="continuationSeparator" w:id="0">
    <w:p w:rsidR="00D31120" w:rsidRDefault="00D31120" w:rsidP="00566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535563"/>
      <w:docPartObj>
        <w:docPartGallery w:val="Page Numbers (Top of Page)"/>
        <w:docPartUnique/>
      </w:docPartObj>
    </w:sdtPr>
    <w:sdtEndPr/>
    <w:sdtContent>
      <w:p w:rsidR="00A777E4" w:rsidRDefault="00617E5E">
        <w:pPr>
          <w:pStyle w:val="a6"/>
          <w:jc w:val="right"/>
        </w:pPr>
        <w:r>
          <w:fldChar w:fldCharType="begin"/>
        </w:r>
        <w:r>
          <w:instrText xml:space="preserve"> PAGE   \* MERGEFORMAT </w:instrText>
        </w:r>
        <w:r>
          <w:fldChar w:fldCharType="separate"/>
        </w:r>
        <w:r w:rsidR="008876C9">
          <w:rPr>
            <w:noProof/>
          </w:rPr>
          <w:t>3</w:t>
        </w:r>
        <w:r>
          <w:rPr>
            <w:noProof/>
          </w:rPr>
          <w:fldChar w:fldCharType="end"/>
        </w:r>
      </w:p>
    </w:sdtContent>
  </w:sdt>
  <w:p w:rsidR="00A777E4" w:rsidRDefault="00A777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00152"/>
    <w:multiLevelType w:val="hybridMultilevel"/>
    <w:tmpl w:val="CBE6B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2B59"/>
    <w:rsid w:val="001F2D5C"/>
    <w:rsid w:val="002638C4"/>
    <w:rsid w:val="00285481"/>
    <w:rsid w:val="00285A94"/>
    <w:rsid w:val="00302DD6"/>
    <w:rsid w:val="0039133A"/>
    <w:rsid w:val="004834CF"/>
    <w:rsid w:val="004A708F"/>
    <w:rsid w:val="00540A28"/>
    <w:rsid w:val="00566353"/>
    <w:rsid w:val="005C411D"/>
    <w:rsid w:val="005D5976"/>
    <w:rsid w:val="00617E5E"/>
    <w:rsid w:val="00622285"/>
    <w:rsid w:val="006A2275"/>
    <w:rsid w:val="007274E9"/>
    <w:rsid w:val="007941DD"/>
    <w:rsid w:val="008876C9"/>
    <w:rsid w:val="008B409C"/>
    <w:rsid w:val="008D058B"/>
    <w:rsid w:val="00921EAD"/>
    <w:rsid w:val="009745E0"/>
    <w:rsid w:val="009F13BA"/>
    <w:rsid w:val="00A6407B"/>
    <w:rsid w:val="00A777E4"/>
    <w:rsid w:val="00AB73F1"/>
    <w:rsid w:val="00AE660A"/>
    <w:rsid w:val="00B11C6A"/>
    <w:rsid w:val="00B1284F"/>
    <w:rsid w:val="00B25B26"/>
    <w:rsid w:val="00C214F0"/>
    <w:rsid w:val="00C25C26"/>
    <w:rsid w:val="00CF7EFB"/>
    <w:rsid w:val="00D31120"/>
    <w:rsid w:val="00D40E28"/>
    <w:rsid w:val="00D95545"/>
    <w:rsid w:val="00DA2B59"/>
    <w:rsid w:val="00DA679A"/>
    <w:rsid w:val="00DB1403"/>
    <w:rsid w:val="00DE2DD7"/>
    <w:rsid w:val="00E32B3D"/>
    <w:rsid w:val="00E85C17"/>
    <w:rsid w:val="00EA3780"/>
    <w:rsid w:val="00FC70B3"/>
    <w:rsid w:val="00FD68AC"/>
    <w:rsid w:val="00FD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EA0D3-5D29-4775-84D9-FE672A46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E9"/>
  </w:style>
  <w:style w:type="paragraph" w:styleId="1">
    <w:name w:val="heading 1"/>
    <w:basedOn w:val="a"/>
    <w:link w:val="10"/>
    <w:uiPriority w:val="9"/>
    <w:qFormat/>
    <w:rsid w:val="005D5976"/>
    <w:pPr>
      <w:keepNext/>
      <w:tabs>
        <w:tab w:val="left" w:pos="4820"/>
      </w:tabs>
      <w:suppressAutoHyphens/>
      <w:spacing w:after="0" w:line="240" w:lineRule="auto"/>
      <w:jc w:val="center"/>
      <w:textAlignment w:val="baseline"/>
      <w:outlineLvl w:val="0"/>
    </w:pPr>
    <w:rPr>
      <w:rFonts w:ascii="Times New Roman" w:eastAsia="Times New Roman" w:hAnsi="Times New Roman" w:cs="Times New Roman"/>
      <w:bCs/>
      <w:color w:val="00000A"/>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DA2B59"/>
    <w:pPr>
      <w:spacing w:after="0" w:line="360" w:lineRule="auto"/>
      <w:jc w:val="both"/>
    </w:pPr>
    <w:rPr>
      <w:rFonts w:ascii="Times New Roman" w:eastAsia="Times New Roman" w:hAnsi="Times New Roman" w:cs="Times New Roman"/>
      <w:color w:val="000000"/>
      <w:sz w:val="24"/>
      <w:szCs w:val="24"/>
    </w:rPr>
  </w:style>
  <w:style w:type="paragraph" w:styleId="a3">
    <w:name w:val="Body Text"/>
    <w:basedOn w:val="a"/>
    <w:link w:val="a4"/>
    <w:rsid w:val="00DA2B59"/>
    <w:pPr>
      <w:spacing w:after="0" w:line="360" w:lineRule="auto"/>
      <w:jc w:val="center"/>
    </w:pPr>
    <w:rPr>
      <w:rFonts w:ascii="Times New Roman" w:eastAsia="Calibri" w:hAnsi="Times New Roman" w:cs="Times New Roman"/>
      <w:sz w:val="28"/>
      <w:szCs w:val="28"/>
      <w:lang w:eastAsia="en-US"/>
    </w:rPr>
  </w:style>
  <w:style w:type="character" w:customStyle="1" w:styleId="a4">
    <w:name w:val="Основной текст Знак"/>
    <w:basedOn w:val="a0"/>
    <w:link w:val="a3"/>
    <w:rsid w:val="00DA2B59"/>
    <w:rPr>
      <w:rFonts w:ascii="Times New Roman" w:eastAsia="Calibri" w:hAnsi="Times New Roman" w:cs="Times New Roman"/>
      <w:sz w:val="28"/>
      <w:szCs w:val="28"/>
      <w:lang w:eastAsia="en-US"/>
    </w:rPr>
  </w:style>
  <w:style w:type="paragraph" w:customStyle="1" w:styleId="Default">
    <w:name w:val="Default"/>
    <w:rsid w:val="00DA2B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5D5976"/>
    <w:rPr>
      <w:rFonts w:ascii="Times New Roman" w:eastAsia="Times New Roman" w:hAnsi="Times New Roman" w:cs="Times New Roman"/>
      <w:bCs/>
      <w:color w:val="00000A"/>
      <w:sz w:val="28"/>
      <w:szCs w:val="20"/>
    </w:rPr>
  </w:style>
  <w:style w:type="table" w:styleId="a5">
    <w:name w:val="Table Grid"/>
    <w:basedOn w:val="a1"/>
    <w:uiPriority w:val="59"/>
    <w:rsid w:val="005D5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5663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6353"/>
  </w:style>
  <w:style w:type="paragraph" w:styleId="a8">
    <w:name w:val="footer"/>
    <w:basedOn w:val="a"/>
    <w:link w:val="a9"/>
    <w:uiPriority w:val="99"/>
    <w:semiHidden/>
    <w:unhideWhenUsed/>
    <w:rsid w:val="0056635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66353"/>
  </w:style>
  <w:style w:type="paragraph" w:styleId="aa">
    <w:name w:val="List Paragraph"/>
    <w:basedOn w:val="a"/>
    <w:uiPriority w:val="34"/>
    <w:qFormat/>
    <w:rsid w:val="00566353"/>
    <w:pPr>
      <w:ind w:left="720"/>
      <w:contextualSpacing/>
    </w:pPr>
  </w:style>
  <w:style w:type="paragraph" w:styleId="ab">
    <w:name w:val="Balloon Text"/>
    <w:basedOn w:val="a"/>
    <w:link w:val="ac"/>
    <w:uiPriority w:val="99"/>
    <w:semiHidden/>
    <w:unhideWhenUsed/>
    <w:rsid w:val="00A6407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64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dc:creator>
  <cp:keywords/>
  <dc:description/>
  <cp:lastModifiedBy>Базаева Нина</cp:lastModifiedBy>
  <cp:revision>19</cp:revision>
  <cp:lastPrinted>2020-06-01T12:26:00Z</cp:lastPrinted>
  <dcterms:created xsi:type="dcterms:W3CDTF">2017-09-13T09:42:00Z</dcterms:created>
  <dcterms:modified xsi:type="dcterms:W3CDTF">2020-06-01T12:26:00Z</dcterms:modified>
</cp:coreProperties>
</file>